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647C" w14:textId="1E48C8C4" w:rsidR="00E614A9" w:rsidRPr="00E614A9" w:rsidRDefault="00E614A9" w:rsidP="00E614A9">
      <w:pPr>
        <w:keepNext/>
        <w:snapToGrid w:val="0"/>
        <w:jc w:val="both"/>
        <w:rPr>
          <w:rFonts w:ascii="Arial" w:hAnsi="Arial" w:cs="Arial"/>
          <w:b/>
          <w:color w:val="000000"/>
          <w:sz w:val="20"/>
        </w:rPr>
      </w:pPr>
      <w:r w:rsidRPr="00E614A9">
        <w:rPr>
          <w:rFonts w:ascii="Arial" w:hAnsi="Arial" w:cs="Arial"/>
          <w:b/>
          <w:color w:val="000000"/>
          <w:sz w:val="20"/>
        </w:rPr>
        <w:t>The ANS Education Excellence Award is conferred annually to an individual or team who/that has made outstanding contributions to Neuroscience Education in Australia and/or New Zealand in one or more of the following areas:</w:t>
      </w:r>
    </w:p>
    <w:p w14:paraId="127D7343" w14:textId="77777777" w:rsidR="00E614A9" w:rsidRPr="00E614A9" w:rsidRDefault="00E614A9" w:rsidP="00E614A9">
      <w:pPr>
        <w:keepNext/>
        <w:tabs>
          <w:tab w:val="left" w:pos="426"/>
        </w:tabs>
        <w:snapToGrid w:val="0"/>
        <w:ind w:left="852" w:hanging="426"/>
        <w:jc w:val="both"/>
        <w:rPr>
          <w:rFonts w:ascii="Arial" w:hAnsi="Arial" w:cs="Arial"/>
          <w:b/>
          <w:color w:val="000000"/>
          <w:sz w:val="20"/>
        </w:rPr>
      </w:pPr>
      <w:r w:rsidRPr="00E614A9">
        <w:rPr>
          <w:rFonts w:ascii="Arial" w:hAnsi="Arial" w:cs="Arial"/>
          <w:b/>
          <w:color w:val="000000"/>
          <w:sz w:val="20"/>
        </w:rPr>
        <w:t>a) Sustained excellence in teaching that promotes student engagement and effective learning</w:t>
      </w:r>
    </w:p>
    <w:p w14:paraId="71BB7AD9" w14:textId="77777777" w:rsidR="00E614A9" w:rsidRPr="00E614A9" w:rsidRDefault="00E614A9" w:rsidP="00E614A9">
      <w:pPr>
        <w:keepNext/>
        <w:tabs>
          <w:tab w:val="left" w:pos="426"/>
        </w:tabs>
        <w:snapToGrid w:val="0"/>
        <w:ind w:left="852" w:hanging="426"/>
        <w:jc w:val="both"/>
        <w:rPr>
          <w:rFonts w:ascii="Arial" w:hAnsi="Arial" w:cs="Arial"/>
          <w:b/>
          <w:color w:val="000000"/>
          <w:sz w:val="20"/>
        </w:rPr>
      </w:pPr>
      <w:r w:rsidRPr="00E614A9">
        <w:rPr>
          <w:rFonts w:ascii="Arial" w:hAnsi="Arial" w:cs="Arial"/>
          <w:b/>
          <w:color w:val="000000"/>
          <w:sz w:val="20"/>
        </w:rPr>
        <w:t>b) Innovative teaching methods and assessment strategies</w:t>
      </w:r>
    </w:p>
    <w:p w14:paraId="4064C8CC" w14:textId="77777777" w:rsidR="00E614A9" w:rsidRPr="00E614A9" w:rsidRDefault="00E614A9" w:rsidP="00E614A9">
      <w:pPr>
        <w:keepNext/>
        <w:tabs>
          <w:tab w:val="left" w:pos="426"/>
        </w:tabs>
        <w:snapToGrid w:val="0"/>
        <w:ind w:left="852" w:hanging="426"/>
        <w:jc w:val="both"/>
        <w:rPr>
          <w:rFonts w:ascii="Arial" w:hAnsi="Arial" w:cs="Arial"/>
          <w:b/>
          <w:color w:val="000000"/>
          <w:sz w:val="20"/>
        </w:rPr>
      </w:pPr>
      <w:r w:rsidRPr="00E614A9">
        <w:rPr>
          <w:rFonts w:ascii="Arial" w:hAnsi="Arial" w:cs="Arial"/>
          <w:b/>
          <w:color w:val="000000"/>
          <w:sz w:val="20"/>
        </w:rPr>
        <w:t>c) Contributions to the scholarship of teaching and learning</w:t>
      </w:r>
    </w:p>
    <w:p w14:paraId="75781E96" w14:textId="77777777" w:rsidR="00E614A9" w:rsidRPr="00E614A9" w:rsidRDefault="00E614A9" w:rsidP="00E614A9">
      <w:pPr>
        <w:keepNext/>
        <w:tabs>
          <w:tab w:val="left" w:pos="426"/>
        </w:tabs>
        <w:snapToGrid w:val="0"/>
        <w:ind w:left="852" w:hanging="426"/>
        <w:jc w:val="both"/>
        <w:rPr>
          <w:rFonts w:ascii="Arial" w:hAnsi="Arial" w:cs="Arial"/>
          <w:b/>
          <w:color w:val="000000"/>
          <w:sz w:val="20"/>
        </w:rPr>
      </w:pPr>
      <w:r w:rsidRPr="00E614A9">
        <w:rPr>
          <w:rFonts w:ascii="Arial" w:hAnsi="Arial" w:cs="Arial"/>
          <w:b/>
          <w:color w:val="000000"/>
          <w:sz w:val="20"/>
        </w:rPr>
        <w:t>d) Fostering interdisciplinary and inter-university teaching collaborations</w:t>
      </w:r>
    </w:p>
    <w:p w14:paraId="1C3A5096" w14:textId="77777777" w:rsidR="00E614A9" w:rsidRPr="00E614A9" w:rsidRDefault="00E614A9" w:rsidP="00E614A9">
      <w:pPr>
        <w:keepNext/>
        <w:tabs>
          <w:tab w:val="left" w:pos="426"/>
        </w:tabs>
        <w:snapToGrid w:val="0"/>
        <w:ind w:left="852" w:hanging="426"/>
        <w:jc w:val="both"/>
        <w:rPr>
          <w:rFonts w:ascii="Arial" w:hAnsi="Arial" w:cs="Arial"/>
          <w:b/>
          <w:color w:val="000000"/>
          <w:sz w:val="20"/>
        </w:rPr>
      </w:pPr>
      <w:r w:rsidRPr="00E614A9">
        <w:rPr>
          <w:rFonts w:ascii="Arial" w:hAnsi="Arial" w:cs="Arial"/>
          <w:b/>
          <w:color w:val="000000"/>
          <w:sz w:val="20"/>
        </w:rPr>
        <w:t>e) Leadership in the enhancement of teaching and learning in Neuroscience</w:t>
      </w:r>
    </w:p>
    <w:p w14:paraId="04325A25" w14:textId="77777777" w:rsidR="00E614A9" w:rsidRPr="00E614A9" w:rsidRDefault="00E614A9" w:rsidP="00E614A9">
      <w:pPr>
        <w:keepNext/>
        <w:tabs>
          <w:tab w:val="left" w:pos="426"/>
        </w:tabs>
        <w:snapToGrid w:val="0"/>
        <w:ind w:left="852" w:hanging="426"/>
        <w:jc w:val="both"/>
        <w:rPr>
          <w:rFonts w:ascii="Arial" w:hAnsi="Arial" w:cs="Arial"/>
          <w:b/>
          <w:color w:val="000000"/>
          <w:sz w:val="20"/>
        </w:rPr>
      </w:pPr>
      <w:r w:rsidRPr="00E614A9">
        <w:rPr>
          <w:rFonts w:ascii="Arial" w:hAnsi="Arial" w:cs="Arial"/>
          <w:b/>
          <w:color w:val="000000"/>
          <w:sz w:val="20"/>
        </w:rPr>
        <w:t>f) Outstanding contributions to neuroscience education outreach activities (such as in schools or advocacy/patient groups)</w:t>
      </w:r>
    </w:p>
    <w:p w14:paraId="1AB8F424" w14:textId="77777777" w:rsidR="00E614A9" w:rsidRPr="00E614A9" w:rsidRDefault="00E614A9" w:rsidP="00E614A9">
      <w:pPr>
        <w:keepNext/>
        <w:tabs>
          <w:tab w:val="left" w:pos="426"/>
        </w:tabs>
        <w:snapToGrid w:val="0"/>
        <w:ind w:left="852" w:hanging="426"/>
        <w:jc w:val="both"/>
        <w:rPr>
          <w:rFonts w:ascii="Arial" w:hAnsi="Arial" w:cs="Arial"/>
          <w:b/>
          <w:color w:val="000000"/>
          <w:sz w:val="20"/>
        </w:rPr>
      </w:pPr>
      <w:r w:rsidRPr="00E614A9">
        <w:rPr>
          <w:rFonts w:ascii="Arial" w:hAnsi="Arial" w:cs="Arial"/>
          <w:b/>
          <w:color w:val="000000"/>
          <w:sz w:val="20"/>
        </w:rPr>
        <w:t>g) Other significant contributions to neuroscience education</w:t>
      </w:r>
    </w:p>
    <w:p w14:paraId="60A210CD" w14:textId="447AD37B" w:rsidR="009B3E61" w:rsidRPr="00BE3FDC" w:rsidRDefault="009B3E61" w:rsidP="00267E89">
      <w:pPr>
        <w:spacing w:after="0" w:line="240" w:lineRule="auto"/>
        <w:rPr>
          <w:b/>
          <w:bCs/>
          <w:sz w:val="24"/>
          <w:szCs w:val="24"/>
        </w:rPr>
      </w:pPr>
    </w:p>
    <w:p w14:paraId="56E1D866" w14:textId="2A1FBC66" w:rsidR="00267E89" w:rsidRDefault="00267E89" w:rsidP="009B3E61">
      <w:pPr>
        <w:pStyle w:val="Heading4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/>
          <w:bCs/>
          <w:color w:val="1B1B1B"/>
          <w:sz w:val="22"/>
          <w:szCs w:val="22"/>
        </w:rPr>
      </w:pPr>
    </w:p>
    <w:p w14:paraId="1E8B6CCC" w14:textId="77777777" w:rsidR="00201451" w:rsidRDefault="00201451" w:rsidP="009B3E61">
      <w:pPr>
        <w:pStyle w:val="Heading4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/>
          <w:bCs/>
          <w:color w:val="1B1B1B"/>
          <w:sz w:val="22"/>
          <w:szCs w:val="22"/>
        </w:rPr>
      </w:pPr>
    </w:p>
    <w:p w14:paraId="446B6F80" w14:textId="183E7DA0" w:rsidR="009B3E61" w:rsidRDefault="009B3E61" w:rsidP="009B3E61">
      <w:pPr>
        <w:pStyle w:val="Heading4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/>
          <w:bCs/>
          <w:color w:val="1B1B1B"/>
          <w:sz w:val="22"/>
          <w:szCs w:val="22"/>
        </w:rPr>
      </w:pPr>
      <w:r w:rsidRPr="009B3E61">
        <w:rPr>
          <w:rStyle w:val="Strong"/>
          <w:rFonts w:asciiTheme="minorHAnsi" w:hAnsiTheme="minorHAnsi" w:cstheme="minorHAnsi"/>
          <w:b/>
          <w:bCs/>
          <w:color w:val="1B1B1B"/>
          <w:sz w:val="22"/>
          <w:szCs w:val="22"/>
        </w:rPr>
        <w:t>Conditions</w:t>
      </w:r>
    </w:p>
    <w:p w14:paraId="30662523" w14:textId="77777777" w:rsidR="00201451" w:rsidRPr="009B3E61" w:rsidRDefault="00201451" w:rsidP="009B3E61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</w:p>
    <w:p w14:paraId="0FD29A72" w14:textId="784F0D7B" w:rsidR="009B3E61" w:rsidRDefault="009B3E61" w:rsidP="00201451">
      <w:pPr>
        <w:numPr>
          <w:ilvl w:val="0"/>
          <w:numId w:val="6"/>
        </w:numPr>
        <w:shd w:val="clear" w:color="auto" w:fill="FFFFFF"/>
        <w:spacing w:after="140" w:line="240" w:lineRule="auto"/>
        <w:ind w:left="714" w:hanging="357"/>
        <w:rPr>
          <w:rFonts w:cstheme="minorHAnsi"/>
          <w:color w:val="1B1B1B"/>
        </w:rPr>
      </w:pPr>
      <w:r w:rsidRPr="009B3E61">
        <w:rPr>
          <w:rFonts w:cstheme="minorHAnsi"/>
          <w:color w:val="1B1B1B"/>
        </w:rPr>
        <w:t>Applicants must be Members of ANS</w:t>
      </w:r>
      <w:r w:rsidR="00E614A9">
        <w:rPr>
          <w:rFonts w:cstheme="minorHAnsi"/>
          <w:color w:val="1B1B1B"/>
        </w:rPr>
        <w:t xml:space="preserve"> at the time of application and at the time of presentation of the Award</w:t>
      </w:r>
      <w:r w:rsidRPr="009B3E61">
        <w:rPr>
          <w:rFonts w:cstheme="minorHAnsi"/>
          <w:color w:val="1B1B1B"/>
        </w:rPr>
        <w:t>.</w:t>
      </w:r>
    </w:p>
    <w:p w14:paraId="21ACCE6C" w14:textId="26C14E81" w:rsidR="00E614A9" w:rsidRDefault="00E614A9" w:rsidP="00201451">
      <w:pPr>
        <w:numPr>
          <w:ilvl w:val="0"/>
          <w:numId w:val="6"/>
        </w:numPr>
        <w:shd w:val="clear" w:color="auto" w:fill="FFFFFF"/>
        <w:spacing w:after="140" w:line="240" w:lineRule="auto"/>
        <w:ind w:left="714" w:hanging="357"/>
        <w:rPr>
          <w:rFonts w:cstheme="minorHAnsi"/>
          <w:color w:val="1B1B1B"/>
        </w:rPr>
      </w:pPr>
      <w:r>
        <w:rPr>
          <w:rFonts w:cstheme="minorHAnsi"/>
          <w:color w:val="1B1B1B"/>
        </w:rPr>
        <w:t>The education-related activity must be in an area related to neuroscience.</w:t>
      </w:r>
    </w:p>
    <w:p w14:paraId="1D7BCADA" w14:textId="65D99C7B" w:rsidR="009B3E61" w:rsidRDefault="009B3E61" w:rsidP="009B3E61">
      <w:pPr>
        <w:shd w:val="clear" w:color="auto" w:fill="FFFFFF"/>
        <w:spacing w:after="0" w:line="240" w:lineRule="auto"/>
        <w:ind w:left="360"/>
        <w:rPr>
          <w:rFonts w:cstheme="minorHAnsi"/>
          <w:color w:val="1B1B1B"/>
        </w:rPr>
      </w:pPr>
    </w:p>
    <w:p w14:paraId="68551ABC" w14:textId="77777777" w:rsidR="00201451" w:rsidRPr="009B3E61" w:rsidRDefault="00201451" w:rsidP="009B3E61">
      <w:pPr>
        <w:shd w:val="clear" w:color="auto" w:fill="FFFFFF"/>
        <w:spacing w:after="0" w:line="240" w:lineRule="auto"/>
        <w:ind w:left="360"/>
        <w:rPr>
          <w:rFonts w:cstheme="minorHAnsi"/>
          <w:color w:val="1B1B1B"/>
        </w:rPr>
      </w:pPr>
    </w:p>
    <w:p w14:paraId="3121D2F4" w14:textId="59AB8A87" w:rsidR="009B3E61" w:rsidRDefault="009B3E61" w:rsidP="009B3E61">
      <w:pPr>
        <w:pStyle w:val="Heading4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/>
          <w:bCs/>
          <w:color w:val="1B1B1B"/>
          <w:sz w:val="22"/>
          <w:szCs w:val="22"/>
        </w:rPr>
      </w:pPr>
      <w:r w:rsidRPr="009B3E61">
        <w:rPr>
          <w:rStyle w:val="Strong"/>
          <w:rFonts w:asciiTheme="minorHAnsi" w:hAnsiTheme="minorHAnsi" w:cstheme="minorHAnsi"/>
          <w:b/>
          <w:bCs/>
          <w:color w:val="1B1B1B"/>
          <w:sz w:val="22"/>
          <w:szCs w:val="22"/>
        </w:rPr>
        <w:t>How to Apply</w:t>
      </w:r>
    </w:p>
    <w:p w14:paraId="24EE3C94" w14:textId="77777777" w:rsidR="00201451" w:rsidRPr="009B3E61" w:rsidRDefault="00201451" w:rsidP="009B3E61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  <w:sz w:val="22"/>
          <w:szCs w:val="22"/>
        </w:rPr>
      </w:pPr>
    </w:p>
    <w:p w14:paraId="41316EC5" w14:textId="77777777" w:rsidR="00E614A9" w:rsidRDefault="00E614A9" w:rsidP="00E614A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1B1B1B"/>
          <w:lang w:eastAsia="en-AU"/>
        </w:rPr>
      </w:pPr>
      <w:r w:rsidRPr="00E614A9">
        <w:rPr>
          <w:rFonts w:eastAsia="Times New Roman" w:cstheme="minorHAnsi"/>
          <w:color w:val="1B1B1B"/>
          <w:lang w:eastAsia="en-AU"/>
        </w:rPr>
        <w:t xml:space="preserve">Applicants should submit a two-page (maximum) summary </w:t>
      </w:r>
      <w:r>
        <w:rPr>
          <w:rFonts w:eastAsia="Times New Roman" w:cstheme="minorHAnsi"/>
          <w:color w:val="1B1B1B"/>
          <w:lang w:eastAsia="en-AU"/>
        </w:rPr>
        <w:t>PDF</w:t>
      </w:r>
      <w:r w:rsidRPr="00E614A9">
        <w:rPr>
          <w:rFonts w:eastAsia="Times New Roman" w:cstheme="minorHAnsi"/>
          <w:color w:val="1B1B1B"/>
          <w:lang w:eastAsia="en-AU"/>
        </w:rPr>
        <w:t xml:space="preserve"> document outlining their contributions to neuroscience teaching.</w:t>
      </w:r>
    </w:p>
    <w:p w14:paraId="048BFDDA" w14:textId="77777777" w:rsidR="00E614A9" w:rsidRPr="00E614A9" w:rsidRDefault="00E614A9" w:rsidP="00E614A9">
      <w:pPr>
        <w:spacing w:after="0" w:line="240" w:lineRule="auto"/>
        <w:rPr>
          <w:rFonts w:eastAsia="Times New Roman" w:cstheme="minorHAnsi"/>
          <w:color w:val="1B1B1B"/>
          <w:lang w:eastAsia="en-AU"/>
        </w:rPr>
      </w:pPr>
    </w:p>
    <w:p w14:paraId="1C523752" w14:textId="20735B8D" w:rsidR="00E614A9" w:rsidRPr="00E614A9" w:rsidRDefault="00E614A9" w:rsidP="00E614A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1B1B1B"/>
          <w:lang w:eastAsia="en-AU"/>
        </w:rPr>
      </w:pPr>
      <w:r w:rsidRPr="00E614A9">
        <w:rPr>
          <w:rFonts w:eastAsia="Times New Roman" w:cstheme="minorHAnsi"/>
          <w:color w:val="1B1B1B"/>
          <w:lang w:eastAsia="en-AU"/>
        </w:rPr>
        <w:t xml:space="preserve">Associated evidence may be included as an appendix (additional 2 pages maximum, pdf format). Examples of the types of evidence that could be provided include: statistics showing outcome of the contribution, awards from institutions, evidence of the impact of the work on students </w:t>
      </w:r>
      <w:proofErr w:type="gramStart"/>
      <w:r w:rsidRPr="00E614A9">
        <w:rPr>
          <w:rFonts w:eastAsia="Times New Roman" w:cstheme="minorHAnsi"/>
          <w:color w:val="1B1B1B"/>
          <w:lang w:eastAsia="en-AU"/>
        </w:rPr>
        <w:t>etc..</w:t>
      </w:r>
      <w:proofErr w:type="gramEnd"/>
    </w:p>
    <w:p w14:paraId="19210B13" w14:textId="77777777" w:rsidR="00E614A9" w:rsidRPr="00E614A9" w:rsidRDefault="00E614A9" w:rsidP="00E614A9">
      <w:pPr>
        <w:spacing w:after="0" w:line="240" w:lineRule="auto"/>
        <w:rPr>
          <w:rFonts w:eastAsia="Times New Roman" w:cstheme="minorHAnsi"/>
          <w:color w:val="1B1B1B"/>
          <w:lang w:eastAsia="en-AU"/>
        </w:rPr>
      </w:pPr>
    </w:p>
    <w:p w14:paraId="2E37F507" w14:textId="725583D4" w:rsidR="009B3E61" w:rsidRPr="00E614A9" w:rsidRDefault="00E614A9" w:rsidP="00E614A9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E614A9">
        <w:rPr>
          <w:rFonts w:eastAsia="Times New Roman" w:cstheme="minorHAnsi"/>
          <w:color w:val="1B1B1B"/>
          <w:lang w:eastAsia="en-AU"/>
        </w:rPr>
        <w:t>Applications are to be considered relative to opportunity.</w:t>
      </w:r>
    </w:p>
    <w:p w14:paraId="62AD4F8E" w14:textId="77777777" w:rsidR="006B1C21" w:rsidRDefault="006B1C21" w:rsidP="009B3E61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3BFD34D" w14:textId="3852FC7E" w:rsidR="00E55216" w:rsidRPr="008F221A" w:rsidRDefault="00E55216" w:rsidP="009B3E61">
      <w:pPr>
        <w:spacing w:after="0" w:line="240" w:lineRule="auto"/>
        <w:rPr>
          <w:b/>
          <w:bCs/>
        </w:rPr>
      </w:pPr>
      <w:r w:rsidRPr="00E55216">
        <w:rPr>
          <w:b/>
          <w:bCs/>
          <w:u w:val="single"/>
        </w:rPr>
        <w:lastRenderedPageBreak/>
        <w:t>Assessment</w:t>
      </w:r>
      <w:r>
        <w:rPr>
          <w:b/>
          <w:bCs/>
        </w:rPr>
        <w:t>:</w:t>
      </w:r>
    </w:p>
    <w:p w14:paraId="611A0EEE" w14:textId="2A66D48B" w:rsidR="00E55216" w:rsidRDefault="00E55216" w:rsidP="009B3E61">
      <w:pPr>
        <w:spacing w:after="0" w:line="240" w:lineRule="auto"/>
        <w:rPr>
          <w:b/>
          <w:bCs/>
        </w:rPr>
      </w:pPr>
    </w:p>
    <w:p w14:paraId="2233A33A" w14:textId="091574BB" w:rsidR="006B1C21" w:rsidRPr="0095144D" w:rsidRDefault="006B1C21" w:rsidP="006B1C21">
      <w:pPr>
        <w:spacing w:after="0" w:line="240" w:lineRule="auto"/>
        <w:rPr>
          <w:bCs/>
        </w:rPr>
      </w:pPr>
      <w:r w:rsidRPr="001C01C2">
        <w:rPr>
          <w:bCs/>
          <w:u w:val="single"/>
        </w:rPr>
        <w:t>Note</w:t>
      </w:r>
      <w:r w:rsidRPr="001C01C2">
        <w:rPr>
          <w:bCs/>
        </w:rPr>
        <w:t>: The winner of the</w:t>
      </w:r>
      <w:r w:rsidR="004B1ED7">
        <w:rPr>
          <w:bCs/>
        </w:rPr>
        <w:t xml:space="preserve"> ANS</w:t>
      </w:r>
      <w:r w:rsidRPr="001C01C2">
        <w:rPr>
          <w:bCs/>
        </w:rPr>
        <w:t xml:space="preserve"> </w:t>
      </w:r>
      <w:r w:rsidR="004B1ED7">
        <w:rPr>
          <w:bCs/>
        </w:rPr>
        <w:t xml:space="preserve">Education Excellence Award </w:t>
      </w:r>
      <w:r w:rsidRPr="001C01C2">
        <w:rPr>
          <w:bCs/>
        </w:rPr>
        <w:t>is decided by the ANS Council. The ranking information provided by assessors below will be considered by an assessment committee, together with any other relevant information, to formulate a recommendation to the Council.</w:t>
      </w:r>
    </w:p>
    <w:p w14:paraId="0947CA96" w14:textId="77777777" w:rsidR="006B1C21" w:rsidRDefault="006B1C21" w:rsidP="009B3E61">
      <w:pPr>
        <w:spacing w:after="0" w:line="240" w:lineRule="auto"/>
        <w:rPr>
          <w:b/>
          <w:bCs/>
        </w:rPr>
      </w:pPr>
    </w:p>
    <w:p w14:paraId="2FDCBEED" w14:textId="77777777" w:rsidR="00A46E79" w:rsidRDefault="00A46E79" w:rsidP="009B3E61">
      <w:pPr>
        <w:spacing w:after="0" w:line="240" w:lineRule="auto"/>
        <w:rPr>
          <w:b/>
          <w:bCs/>
        </w:rPr>
      </w:pPr>
    </w:p>
    <w:p w14:paraId="0F7F17CF" w14:textId="6C9B86A8" w:rsidR="00CF50DE" w:rsidRPr="00CF50DE" w:rsidRDefault="00E55216" w:rsidP="00CF50DE">
      <w:pPr>
        <w:spacing w:after="0" w:line="240" w:lineRule="auto"/>
        <w:rPr>
          <w:bCs/>
        </w:rPr>
      </w:pPr>
      <w:r>
        <w:rPr>
          <w:b/>
          <w:bCs/>
        </w:rPr>
        <w:t xml:space="preserve">Assessors must </w:t>
      </w:r>
      <w:r w:rsidR="008F221A" w:rsidRPr="00361631">
        <w:rPr>
          <w:b/>
          <w:bCs/>
        </w:rPr>
        <w:t xml:space="preserve">sign and date </w:t>
      </w:r>
      <w:r>
        <w:rPr>
          <w:b/>
          <w:bCs/>
        </w:rPr>
        <w:t>their</w:t>
      </w:r>
      <w:r w:rsidR="008F221A" w:rsidRPr="00361631">
        <w:rPr>
          <w:b/>
          <w:bCs/>
        </w:rPr>
        <w:t xml:space="preserve"> completed assessment</w:t>
      </w:r>
      <w:r w:rsidR="008F221A">
        <w:rPr>
          <w:bCs/>
        </w:rPr>
        <w:t xml:space="preserve">, scan it as a PDF, and then email the </w:t>
      </w:r>
      <w:r>
        <w:rPr>
          <w:bCs/>
        </w:rPr>
        <w:t>PDF</w:t>
      </w:r>
      <w:r w:rsidR="008F221A">
        <w:rPr>
          <w:bCs/>
        </w:rPr>
        <w:t xml:space="preserve"> to </w:t>
      </w:r>
      <w:r w:rsidR="00766D96">
        <w:rPr>
          <w:bCs/>
        </w:rPr>
        <w:t xml:space="preserve">the </w:t>
      </w:r>
      <w:r w:rsidR="00766D96" w:rsidRPr="00E55216">
        <w:rPr>
          <w:b/>
          <w:bCs/>
        </w:rPr>
        <w:t>ANS Secretary</w:t>
      </w:r>
      <w:r>
        <w:rPr>
          <w:bCs/>
        </w:rPr>
        <w:t xml:space="preserve"> who collates the assessments.</w:t>
      </w:r>
      <w:r w:rsidR="006B1C21">
        <w:rPr>
          <w:bCs/>
        </w:rPr>
        <w:t xml:space="preserve"> </w:t>
      </w:r>
      <w:r w:rsidR="00CF50DE" w:rsidRPr="00CF50DE">
        <w:rPr>
          <w:bCs/>
        </w:rPr>
        <w:t xml:space="preserve">Note that </w:t>
      </w:r>
      <w:r w:rsidR="00CF50DE">
        <w:rPr>
          <w:bCs/>
        </w:rPr>
        <w:t>only the Secretary will be aware of any assessor’s scores and any committee discussion of scoring will be done with assessor identities concealed.</w:t>
      </w:r>
    </w:p>
    <w:p w14:paraId="758FBDBB" w14:textId="77777777" w:rsidR="00A46E79" w:rsidRDefault="00A46E79" w:rsidP="00CD5A8B"/>
    <w:p w14:paraId="60E51054" w14:textId="2EEDA4D8" w:rsidR="000466EB" w:rsidRDefault="000466EB" w:rsidP="000466EB">
      <w:pPr>
        <w:rPr>
          <w:b/>
          <w:bCs/>
        </w:rPr>
      </w:pPr>
      <w:r w:rsidRPr="00692E5C">
        <w:rPr>
          <w:b/>
          <w:bCs/>
        </w:rPr>
        <w:t>Please rank the applicants/nominees by entering numbers</w:t>
      </w:r>
      <w:r>
        <w:rPr>
          <w:b/>
          <w:bCs/>
        </w:rPr>
        <w:t xml:space="preserve"> in the table below</w:t>
      </w:r>
      <w:r w:rsidRPr="00692E5C">
        <w:rPr>
          <w:b/>
          <w:bCs/>
        </w:rPr>
        <w:t xml:space="preserve"> in the column under your name. Highest rank = 1, lowest rank = &lt;Insert No.&gt;. </w:t>
      </w:r>
      <w:bookmarkStart w:id="0" w:name="_Hlk83220424"/>
      <w:r w:rsidRPr="00692E5C">
        <w:rPr>
          <w:b/>
          <w:bCs/>
        </w:rPr>
        <w:t xml:space="preserve">You must rank </w:t>
      </w:r>
      <w:r w:rsidRPr="00692E5C">
        <w:rPr>
          <w:b/>
          <w:bCs/>
          <w:u w:val="single"/>
        </w:rPr>
        <w:t>all</w:t>
      </w:r>
      <w:r w:rsidRPr="00692E5C">
        <w:rPr>
          <w:b/>
          <w:bCs/>
        </w:rPr>
        <w:t xml:space="preserve"> applicants</w:t>
      </w:r>
      <w:r>
        <w:rPr>
          <w:b/>
          <w:bCs/>
        </w:rPr>
        <w:t xml:space="preserve"> and you </w:t>
      </w:r>
      <w:r w:rsidRPr="00692E5C">
        <w:rPr>
          <w:b/>
          <w:bCs/>
        </w:rPr>
        <w:t>cannot give an identical rank to multiple applicants.</w:t>
      </w:r>
      <w:bookmarkEnd w:id="0"/>
    </w:p>
    <w:p w14:paraId="3BF75F65" w14:textId="77777777" w:rsidR="00A46E79" w:rsidRDefault="00A46E79" w:rsidP="000466EB">
      <w:pPr>
        <w:rPr>
          <w:b/>
          <w:bCs/>
        </w:rPr>
      </w:pPr>
    </w:p>
    <w:p w14:paraId="27D59A39" w14:textId="0969D404" w:rsidR="000466EB" w:rsidRPr="00692E5C" w:rsidRDefault="000466EB" w:rsidP="000466EB">
      <w:pPr>
        <w:rPr>
          <w:bCs/>
        </w:rPr>
      </w:pPr>
      <w:r w:rsidRPr="00692E5C">
        <w:rPr>
          <w:bCs/>
        </w:rPr>
        <w:t>In your ranking consider:</w:t>
      </w:r>
    </w:p>
    <w:p w14:paraId="44CAC58B" w14:textId="367358B0" w:rsidR="000466EB" w:rsidRDefault="000466EB" w:rsidP="000466EB">
      <w:pPr>
        <w:pStyle w:val="ListParagraph"/>
        <w:numPr>
          <w:ilvl w:val="0"/>
          <w:numId w:val="9"/>
        </w:numPr>
        <w:spacing w:line="240" w:lineRule="auto"/>
        <w:rPr>
          <w:bCs/>
        </w:rPr>
      </w:pPr>
      <w:bookmarkStart w:id="1" w:name="_Hlk83220640"/>
      <w:r>
        <w:rPr>
          <w:bCs/>
        </w:rPr>
        <w:t xml:space="preserve">The </w:t>
      </w:r>
      <w:r w:rsidRPr="000466EB">
        <w:rPr>
          <w:b/>
          <w:u w:val="single"/>
        </w:rPr>
        <w:t>proportion of the neuroscience component</w:t>
      </w:r>
      <w:r>
        <w:rPr>
          <w:bCs/>
        </w:rPr>
        <w:t xml:space="preserve"> in any educational activity described.</w:t>
      </w:r>
    </w:p>
    <w:p w14:paraId="2756DD59" w14:textId="1BFFE5A4" w:rsidR="000466EB" w:rsidRDefault="000466EB" w:rsidP="000466EB">
      <w:pPr>
        <w:pStyle w:val="ListParagraph"/>
        <w:numPr>
          <w:ilvl w:val="0"/>
          <w:numId w:val="9"/>
        </w:numPr>
        <w:spacing w:line="240" w:lineRule="auto"/>
        <w:rPr>
          <w:bCs/>
        </w:rPr>
      </w:pPr>
      <w:r w:rsidRPr="000466EB">
        <w:rPr>
          <w:bCs/>
        </w:rPr>
        <w:t xml:space="preserve">The </w:t>
      </w:r>
      <w:r w:rsidRPr="000466EB">
        <w:rPr>
          <w:b/>
          <w:u w:val="single"/>
        </w:rPr>
        <w:t>quality of the evidence</w:t>
      </w:r>
      <w:r w:rsidRPr="000466EB">
        <w:rPr>
          <w:bCs/>
        </w:rPr>
        <w:t xml:space="preserve"> supporting claims of neuroscience educational activity and success.</w:t>
      </w:r>
    </w:p>
    <w:p w14:paraId="17D611ED" w14:textId="77777777" w:rsidR="000466EB" w:rsidRDefault="000466EB" w:rsidP="000466EB">
      <w:pPr>
        <w:pStyle w:val="ListParagraph"/>
        <w:numPr>
          <w:ilvl w:val="0"/>
          <w:numId w:val="9"/>
        </w:numPr>
        <w:spacing w:line="240" w:lineRule="auto"/>
        <w:ind w:left="714" w:hanging="357"/>
        <w:rPr>
          <w:bCs/>
        </w:rPr>
      </w:pPr>
      <w:r w:rsidRPr="00692E5C">
        <w:rPr>
          <w:bCs/>
        </w:rPr>
        <w:t xml:space="preserve">The </w:t>
      </w:r>
      <w:r w:rsidRPr="00692E5C">
        <w:rPr>
          <w:b/>
          <w:bCs/>
          <w:u w:val="single"/>
        </w:rPr>
        <w:t>proportional contribution</w:t>
      </w:r>
      <w:r w:rsidRPr="00692E5C">
        <w:rPr>
          <w:bCs/>
        </w:rPr>
        <w:t xml:space="preserve"> of the applicant to </w:t>
      </w:r>
      <w:r>
        <w:rPr>
          <w:bCs/>
        </w:rPr>
        <w:t>any described activity</w:t>
      </w:r>
      <w:r w:rsidRPr="00692E5C">
        <w:rPr>
          <w:bCs/>
        </w:rPr>
        <w:t>.</w:t>
      </w:r>
    </w:p>
    <w:bookmarkEnd w:id="1"/>
    <w:p w14:paraId="0A7AD861" w14:textId="7750CA1C" w:rsidR="000466EB" w:rsidRDefault="000466EB" w:rsidP="000466EB">
      <w:pPr>
        <w:pStyle w:val="ListParagraph"/>
        <w:numPr>
          <w:ilvl w:val="0"/>
          <w:numId w:val="9"/>
        </w:numPr>
        <w:spacing w:line="240" w:lineRule="auto"/>
        <w:rPr>
          <w:bCs/>
        </w:rPr>
      </w:pPr>
      <w:r>
        <w:rPr>
          <w:bCs/>
        </w:rPr>
        <w:t xml:space="preserve">The </w:t>
      </w:r>
      <w:r w:rsidRPr="000466EB">
        <w:rPr>
          <w:b/>
          <w:u w:val="single"/>
        </w:rPr>
        <w:t>sustained or aggregate magnitude</w:t>
      </w:r>
      <w:r>
        <w:rPr>
          <w:bCs/>
        </w:rPr>
        <w:t xml:space="preserve"> of the activity(</w:t>
      </w:r>
      <w:proofErr w:type="spellStart"/>
      <w:r>
        <w:rPr>
          <w:bCs/>
        </w:rPr>
        <w:t>ies</w:t>
      </w:r>
      <w:proofErr w:type="spellEnd"/>
      <w:r>
        <w:rPr>
          <w:bCs/>
        </w:rPr>
        <w:t>)</w:t>
      </w:r>
    </w:p>
    <w:p w14:paraId="61BA2C44" w14:textId="77777777" w:rsidR="00A46E79" w:rsidRPr="00A46E79" w:rsidRDefault="00A46E79" w:rsidP="00A46E79">
      <w:pPr>
        <w:pStyle w:val="ListParagraph"/>
        <w:numPr>
          <w:ilvl w:val="0"/>
          <w:numId w:val="9"/>
        </w:numPr>
        <w:spacing w:line="240" w:lineRule="auto"/>
        <w:rPr>
          <w:bCs/>
        </w:rPr>
      </w:pPr>
      <w:r w:rsidRPr="00A46E79">
        <w:rPr>
          <w:bCs/>
        </w:rPr>
        <w:t xml:space="preserve">Indicators that the activity has been performed at a </w:t>
      </w:r>
      <w:r w:rsidRPr="00AB7F6E">
        <w:rPr>
          <w:b/>
          <w:u w:val="single"/>
        </w:rPr>
        <w:t xml:space="preserve">high level of </w:t>
      </w:r>
      <w:proofErr w:type="gramStart"/>
      <w:r w:rsidRPr="00AB7F6E">
        <w:rPr>
          <w:b/>
          <w:u w:val="single"/>
        </w:rPr>
        <w:t>excellence</w:t>
      </w:r>
      <w:proofErr w:type="gramEnd"/>
    </w:p>
    <w:p w14:paraId="6198CD71" w14:textId="71DB3F55" w:rsidR="00A46E79" w:rsidRPr="00A46E79" w:rsidRDefault="00A46E79" w:rsidP="00A46E79">
      <w:pPr>
        <w:pStyle w:val="ListParagraph"/>
        <w:numPr>
          <w:ilvl w:val="0"/>
          <w:numId w:val="9"/>
        </w:numPr>
        <w:spacing w:line="240" w:lineRule="auto"/>
        <w:rPr>
          <w:bCs/>
        </w:rPr>
      </w:pPr>
      <w:r w:rsidRPr="00A46E79">
        <w:rPr>
          <w:bCs/>
        </w:rPr>
        <w:t xml:space="preserve">Whether excellence and/or impact of this activity has been </w:t>
      </w:r>
      <w:r w:rsidRPr="00AB7F6E">
        <w:rPr>
          <w:b/>
          <w:u w:val="single"/>
        </w:rPr>
        <w:t>recognised at the national or international level</w:t>
      </w:r>
      <w:r w:rsidRPr="00AB7F6E">
        <w:rPr>
          <w:bCs/>
        </w:rPr>
        <w:t>.</w:t>
      </w:r>
    </w:p>
    <w:p w14:paraId="3E41DAC6" w14:textId="77777777" w:rsidR="000466EB" w:rsidRPr="000466EB" w:rsidRDefault="000466EB" w:rsidP="000466EB">
      <w:pPr>
        <w:pStyle w:val="ListParagraph"/>
        <w:numPr>
          <w:ilvl w:val="0"/>
          <w:numId w:val="9"/>
        </w:numPr>
        <w:spacing w:line="240" w:lineRule="auto"/>
        <w:rPr>
          <w:bCs/>
        </w:rPr>
      </w:pPr>
      <w:r w:rsidRPr="000466EB">
        <w:rPr>
          <w:bCs/>
        </w:rPr>
        <w:t xml:space="preserve">If considering pedagogical research publications, remember the recommendations of the </w:t>
      </w:r>
      <w:r w:rsidRPr="000466EB">
        <w:rPr>
          <w:b/>
          <w:bCs/>
        </w:rPr>
        <w:t>Declaration on Research Assessment (DORA)</w:t>
      </w:r>
      <w:r w:rsidRPr="000466EB">
        <w:rPr>
          <w:bCs/>
        </w:rPr>
        <w:t xml:space="preserve"> available at </w:t>
      </w:r>
      <w:hyperlink r:id="rId5" w:history="1">
        <w:r w:rsidRPr="000466EB">
          <w:rPr>
            <w:rStyle w:val="Hyperlink"/>
            <w:bCs/>
          </w:rPr>
          <w:t>https://sfdora.org/read/</w:t>
        </w:r>
      </w:hyperlink>
      <w:r w:rsidRPr="000466EB">
        <w:rPr>
          <w:bCs/>
        </w:rPr>
        <w:t xml:space="preserve"> </w:t>
      </w:r>
      <w:r w:rsidRPr="000466EB">
        <w:rPr>
          <w:bCs/>
          <w:u w:val="single"/>
        </w:rPr>
        <w:t>In particular</w:t>
      </w:r>
      <w:r w:rsidRPr="000466EB">
        <w:rPr>
          <w:bCs/>
        </w:rPr>
        <w:t>:</w:t>
      </w:r>
    </w:p>
    <w:p w14:paraId="7F72BE95" w14:textId="77777777" w:rsidR="000466EB" w:rsidRPr="00692E5C" w:rsidRDefault="000466EB" w:rsidP="000466EB">
      <w:pPr>
        <w:spacing w:line="240" w:lineRule="auto"/>
        <w:ind w:left="1440"/>
        <w:rPr>
          <w:bCs/>
        </w:rPr>
      </w:pPr>
      <w:r w:rsidRPr="00692E5C">
        <w:rPr>
          <w:bCs/>
        </w:rPr>
        <w:t xml:space="preserve">“…the need to assess research on its own merits rather than </w:t>
      </w:r>
      <w:proofErr w:type="gramStart"/>
      <w:r w:rsidRPr="00692E5C">
        <w:rPr>
          <w:bCs/>
        </w:rPr>
        <w:t>on the basis of</w:t>
      </w:r>
      <w:proofErr w:type="gramEnd"/>
      <w:r w:rsidRPr="00692E5C">
        <w:rPr>
          <w:bCs/>
        </w:rPr>
        <w:t xml:space="preserve"> the journal in which the research is published; and …</w:t>
      </w:r>
    </w:p>
    <w:p w14:paraId="158E9C68" w14:textId="7982ABDF" w:rsidR="000466EB" w:rsidRPr="000466EB" w:rsidRDefault="000466EB" w:rsidP="000466EB">
      <w:pPr>
        <w:spacing w:line="240" w:lineRule="auto"/>
        <w:ind w:left="1440"/>
        <w:rPr>
          <w:bCs/>
        </w:rPr>
      </w:pPr>
      <w:r w:rsidRPr="00692E5C">
        <w:rPr>
          <w:bCs/>
        </w:rPr>
        <w:t>“Do not use journal-based metrics, such as Journal Impact Factors, as a surrogate measure of the quality of individual research articles, to assess an individual scientist’s contributions, or in hiring, promotion, or funding decisions.”</w:t>
      </w:r>
    </w:p>
    <w:p w14:paraId="381C86AA" w14:textId="6BADED70" w:rsidR="000466EB" w:rsidRDefault="000466EB" w:rsidP="000466EB">
      <w:pPr>
        <w:pStyle w:val="ListParagraph"/>
        <w:numPr>
          <w:ilvl w:val="0"/>
          <w:numId w:val="9"/>
        </w:numPr>
        <w:spacing w:line="240" w:lineRule="auto"/>
        <w:rPr>
          <w:bCs/>
        </w:rPr>
      </w:pPr>
      <w:r>
        <w:rPr>
          <w:bCs/>
        </w:rPr>
        <w:t>Please remember to consider any</w:t>
      </w:r>
      <w:r w:rsidRPr="00367270">
        <w:rPr>
          <w:bCs/>
        </w:rPr>
        <w:t xml:space="preserve"> </w:t>
      </w:r>
      <w:r w:rsidRPr="000466EB">
        <w:rPr>
          <w:b/>
        </w:rPr>
        <w:t>career disruptions</w:t>
      </w:r>
      <w:r w:rsidRPr="00367270">
        <w:rPr>
          <w:bCs/>
        </w:rPr>
        <w:t>.</w:t>
      </w:r>
    </w:p>
    <w:p w14:paraId="095A7CF3" w14:textId="6E546E68" w:rsidR="000466EB" w:rsidRDefault="000466EB" w:rsidP="000466EB">
      <w:pPr>
        <w:pStyle w:val="ListParagraph"/>
        <w:numPr>
          <w:ilvl w:val="0"/>
          <w:numId w:val="9"/>
        </w:numPr>
        <w:spacing w:line="240" w:lineRule="auto"/>
        <w:rPr>
          <w:bCs/>
        </w:rPr>
      </w:pPr>
      <w:r w:rsidRPr="00367270">
        <w:rPr>
          <w:bCs/>
        </w:rPr>
        <w:t>Please</w:t>
      </w:r>
      <w:r w:rsidRPr="009F1CEE">
        <w:rPr>
          <w:bCs/>
        </w:rPr>
        <w:t xml:space="preserve"> notify the ANS Secretary you discover a </w:t>
      </w:r>
      <w:r w:rsidRPr="000466EB">
        <w:rPr>
          <w:b/>
        </w:rPr>
        <w:t>conflict of interest</w:t>
      </w:r>
      <w:r w:rsidRPr="009F1CEE">
        <w:rPr>
          <w:bCs/>
        </w:rPr>
        <w:t>.</w:t>
      </w:r>
    </w:p>
    <w:p w14:paraId="6A01CCB4" w14:textId="77777777" w:rsidR="000466EB" w:rsidRDefault="000466EB" w:rsidP="000466EB">
      <w:pPr>
        <w:spacing w:after="0" w:line="240" w:lineRule="auto"/>
        <w:rPr>
          <w:b/>
          <w:bCs/>
        </w:rPr>
      </w:pPr>
    </w:p>
    <w:p w14:paraId="7E1F5098" w14:textId="77777777" w:rsidR="00A46E79" w:rsidRDefault="00A46E79" w:rsidP="000466EB">
      <w:pPr>
        <w:spacing w:after="0" w:line="240" w:lineRule="auto"/>
        <w:rPr>
          <w:b/>
          <w:bCs/>
        </w:rPr>
      </w:pPr>
    </w:p>
    <w:p w14:paraId="6F78349D" w14:textId="6BCE723F" w:rsidR="000466EB" w:rsidRPr="009F1CEE" w:rsidRDefault="000466EB" w:rsidP="000466EB">
      <w:pPr>
        <w:spacing w:after="0" w:line="240" w:lineRule="auto"/>
        <w:rPr>
          <w:bCs/>
          <w:color w:val="0000FF"/>
          <w:u w:val="single"/>
        </w:rPr>
      </w:pPr>
      <w:r w:rsidRPr="00361631">
        <w:rPr>
          <w:b/>
          <w:bCs/>
        </w:rPr>
        <w:t>Please sign and date your completed assessment</w:t>
      </w:r>
      <w:r>
        <w:rPr>
          <w:bCs/>
        </w:rPr>
        <w:t>, scan it as a PDF, and then email the assessment to the ANS Secretary.</w:t>
      </w:r>
    </w:p>
    <w:p w14:paraId="71877008" w14:textId="1263DF24" w:rsidR="00A46E79" w:rsidRDefault="00A46E79">
      <w:pPr>
        <w:rPr>
          <w:bCs/>
        </w:rPr>
      </w:pPr>
      <w:r>
        <w:rPr>
          <w:bCs/>
        </w:rPr>
        <w:br w:type="page"/>
      </w:r>
    </w:p>
    <w:p w14:paraId="1C742EBD" w14:textId="24582BA5" w:rsidR="000466EB" w:rsidRDefault="008F05BE" w:rsidP="00A46E79">
      <w:pPr>
        <w:jc w:val="center"/>
        <w:rPr>
          <w:b/>
        </w:rPr>
      </w:pPr>
      <w:r>
        <w:rPr>
          <w:b/>
        </w:rPr>
        <w:lastRenderedPageBreak/>
        <w:t>Candidate Ranking Table</w:t>
      </w:r>
    </w:p>
    <w:p w14:paraId="414B77F3" w14:textId="07457EF8" w:rsidR="008F05BE" w:rsidRPr="00A46E79" w:rsidRDefault="008F05BE" w:rsidP="008F05BE">
      <w:pPr>
        <w:rPr>
          <w:b/>
        </w:rPr>
      </w:pPr>
      <w:r>
        <w:rPr>
          <w:rFonts w:eastAsia="Times New Roman" w:cstheme="minorHAnsi"/>
          <w:sz w:val="24"/>
          <w:szCs w:val="24"/>
        </w:rPr>
        <w:t xml:space="preserve">All candidates must receive a rank. You cannot give the same rank to multiple candidates. The top candidate should receive a rank of 1 and other candidates should </w:t>
      </w:r>
      <w:proofErr w:type="spellStart"/>
      <w:proofErr w:type="gramStart"/>
      <w:r>
        <w:rPr>
          <w:rFonts w:eastAsia="Times New Roman" w:cstheme="minorHAnsi"/>
          <w:sz w:val="24"/>
          <w:szCs w:val="24"/>
        </w:rPr>
        <w:t>received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greater ranks (2, 3, 4, etc.)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4111"/>
      </w:tblGrid>
      <w:tr w:rsidR="008F05BE" w14:paraId="68BB7D4E" w14:textId="77777777" w:rsidTr="008F05BE">
        <w:trPr>
          <w:trHeight w:val="331"/>
        </w:trPr>
        <w:tc>
          <w:tcPr>
            <w:tcW w:w="5382" w:type="dxa"/>
            <w:gridSpan w:val="2"/>
          </w:tcPr>
          <w:p w14:paraId="2DBE9A02" w14:textId="77777777" w:rsidR="008F05BE" w:rsidRPr="00924806" w:rsidRDefault="008F05BE" w:rsidP="008F05BE">
            <w:pPr>
              <w:rPr>
                <w:b/>
                <w:sz w:val="16"/>
                <w:szCs w:val="16"/>
              </w:rPr>
            </w:pPr>
            <w:r w:rsidRPr="00341469">
              <w:rPr>
                <w:b/>
              </w:rPr>
              <w:t>Assesso</w:t>
            </w:r>
            <w:r>
              <w:rPr>
                <w:b/>
              </w:rPr>
              <w:t>r’s Name: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4270A1C" w14:textId="77777777" w:rsidR="008F05BE" w:rsidRPr="00A46E79" w:rsidRDefault="008F05BE" w:rsidP="008F05BE">
            <w:pPr>
              <w:jc w:val="center"/>
              <w:rPr>
                <w:b/>
              </w:rPr>
            </w:pPr>
            <w:r w:rsidRPr="00A46E79">
              <w:rPr>
                <w:b/>
              </w:rPr>
              <w:t>Any other comments</w:t>
            </w:r>
          </w:p>
        </w:tc>
      </w:tr>
      <w:tr w:rsidR="008F05BE" w14:paraId="2FB4E258" w14:textId="77777777" w:rsidTr="008F05BE">
        <w:trPr>
          <w:trHeight w:val="541"/>
        </w:trPr>
        <w:tc>
          <w:tcPr>
            <w:tcW w:w="4248" w:type="dxa"/>
            <w:shd w:val="clear" w:color="auto" w:fill="D9D9D9" w:themeFill="background1" w:themeFillShade="D9"/>
          </w:tcPr>
          <w:p w14:paraId="7BC30ED2" w14:textId="77777777" w:rsidR="008F05BE" w:rsidRPr="00341469" w:rsidRDefault="008F05BE" w:rsidP="008F05BE">
            <w:pPr>
              <w:rPr>
                <w:b/>
              </w:rPr>
            </w:pPr>
            <w:r w:rsidRPr="00341469">
              <w:rPr>
                <w:b/>
              </w:rPr>
              <w:t>Candidate</w:t>
            </w:r>
            <w:r>
              <w:rPr>
                <w:b/>
              </w:rPr>
              <w:t>’s Names</w:t>
            </w:r>
          </w:p>
          <w:p w14:paraId="051C874D" w14:textId="77777777" w:rsidR="008F05BE" w:rsidRDefault="008F05BE" w:rsidP="008F05BE">
            <w:r>
              <w:t xml:space="preserve">        </w:t>
            </w:r>
            <w:r>
              <w:sym w:font="Symbol" w:char="F0AF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14:paraId="327F55F0" w14:textId="6A878DA6" w:rsidR="008F05BE" w:rsidRPr="00341469" w:rsidRDefault="008F05BE" w:rsidP="008F05BE">
            <w:pPr>
              <w:jc w:val="center"/>
              <w:rPr>
                <w:b/>
              </w:rPr>
            </w:pPr>
            <w:r>
              <w:rPr>
                <w:b/>
              </w:rPr>
              <w:t>Rank</w:t>
            </w:r>
          </w:p>
          <w:p w14:paraId="5A109E2B" w14:textId="6D52111D" w:rsidR="008F05BE" w:rsidRDefault="008F05BE" w:rsidP="008F05BE">
            <w:pPr>
              <w:jc w:val="center"/>
            </w:pPr>
            <w:r>
              <w:sym w:font="Symbol" w:char="F0AF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0CA7C" w14:textId="77777777" w:rsidR="008F05BE" w:rsidRDefault="008F05BE" w:rsidP="008F05BE"/>
        </w:tc>
      </w:tr>
      <w:tr w:rsidR="008F05BE" w14:paraId="31423213" w14:textId="77777777" w:rsidTr="008F05BE">
        <w:trPr>
          <w:trHeight w:val="270"/>
        </w:trPr>
        <w:tc>
          <w:tcPr>
            <w:tcW w:w="4248" w:type="dxa"/>
          </w:tcPr>
          <w:p w14:paraId="495C2801" w14:textId="77777777" w:rsidR="008F05BE" w:rsidRDefault="008F05BE" w:rsidP="008F05BE"/>
        </w:tc>
        <w:tc>
          <w:tcPr>
            <w:tcW w:w="1134" w:type="dxa"/>
          </w:tcPr>
          <w:p w14:paraId="6F7786A0" w14:textId="77777777" w:rsidR="008F05BE" w:rsidRDefault="008F05BE" w:rsidP="008F05BE"/>
        </w:tc>
        <w:tc>
          <w:tcPr>
            <w:tcW w:w="4111" w:type="dxa"/>
            <w:tcBorders>
              <w:top w:val="single" w:sz="4" w:space="0" w:color="auto"/>
            </w:tcBorders>
          </w:tcPr>
          <w:p w14:paraId="5774A747" w14:textId="77777777" w:rsidR="008F05BE" w:rsidRDefault="008F05BE" w:rsidP="008F05BE"/>
        </w:tc>
      </w:tr>
      <w:tr w:rsidR="008F05BE" w14:paraId="4E1AA973" w14:textId="77777777" w:rsidTr="008F05BE">
        <w:trPr>
          <w:trHeight w:val="255"/>
        </w:trPr>
        <w:tc>
          <w:tcPr>
            <w:tcW w:w="4248" w:type="dxa"/>
          </w:tcPr>
          <w:p w14:paraId="5387D03A" w14:textId="77777777" w:rsidR="008F05BE" w:rsidRDefault="008F05BE" w:rsidP="008F05BE"/>
        </w:tc>
        <w:tc>
          <w:tcPr>
            <w:tcW w:w="1134" w:type="dxa"/>
          </w:tcPr>
          <w:p w14:paraId="1C4C2C4C" w14:textId="77777777" w:rsidR="008F05BE" w:rsidRDefault="008F05BE" w:rsidP="008F05BE"/>
        </w:tc>
        <w:tc>
          <w:tcPr>
            <w:tcW w:w="4111" w:type="dxa"/>
          </w:tcPr>
          <w:p w14:paraId="314C1050" w14:textId="77777777" w:rsidR="008F05BE" w:rsidRDefault="008F05BE" w:rsidP="008F05BE"/>
        </w:tc>
      </w:tr>
      <w:tr w:rsidR="008F05BE" w14:paraId="76FCFCB3" w14:textId="77777777" w:rsidTr="008F05BE">
        <w:trPr>
          <w:trHeight w:val="270"/>
        </w:trPr>
        <w:tc>
          <w:tcPr>
            <w:tcW w:w="4248" w:type="dxa"/>
          </w:tcPr>
          <w:p w14:paraId="6FE37931" w14:textId="77777777" w:rsidR="008F05BE" w:rsidRDefault="008F05BE" w:rsidP="008F05BE"/>
        </w:tc>
        <w:tc>
          <w:tcPr>
            <w:tcW w:w="1134" w:type="dxa"/>
          </w:tcPr>
          <w:p w14:paraId="04AD3388" w14:textId="77777777" w:rsidR="008F05BE" w:rsidRDefault="008F05BE" w:rsidP="008F05BE"/>
        </w:tc>
        <w:tc>
          <w:tcPr>
            <w:tcW w:w="4111" w:type="dxa"/>
          </w:tcPr>
          <w:p w14:paraId="039E9D16" w14:textId="77777777" w:rsidR="008F05BE" w:rsidRDefault="008F05BE" w:rsidP="008F05BE"/>
        </w:tc>
      </w:tr>
      <w:tr w:rsidR="008F05BE" w14:paraId="7BF2D59F" w14:textId="77777777" w:rsidTr="008F05BE">
        <w:trPr>
          <w:trHeight w:val="255"/>
        </w:trPr>
        <w:tc>
          <w:tcPr>
            <w:tcW w:w="4248" w:type="dxa"/>
          </w:tcPr>
          <w:p w14:paraId="62776991" w14:textId="77777777" w:rsidR="008F05BE" w:rsidRDefault="008F05BE" w:rsidP="008F05BE"/>
        </w:tc>
        <w:tc>
          <w:tcPr>
            <w:tcW w:w="1134" w:type="dxa"/>
          </w:tcPr>
          <w:p w14:paraId="1A19DA56" w14:textId="77777777" w:rsidR="008F05BE" w:rsidRDefault="008F05BE" w:rsidP="008F05BE"/>
        </w:tc>
        <w:tc>
          <w:tcPr>
            <w:tcW w:w="4111" w:type="dxa"/>
          </w:tcPr>
          <w:p w14:paraId="6CD9D5FA" w14:textId="77777777" w:rsidR="008F05BE" w:rsidRDefault="008F05BE" w:rsidP="008F05BE"/>
        </w:tc>
      </w:tr>
      <w:tr w:rsidR="008F05BE" w14:paraId="37B8E408" w14:textId="77777777" w:rsidTr="008F05BE">
        <w:trPr>
          <w:trHeight w:val="270"/>
        </w:trPr>
        <w:tc>
          <w:tcPr>
            <w:tcW w:w="4248" w:type="dxa"/>
            <w:tcBorders>
              <w:bottom w:val="single" w:sz="4" w:space="0" w:color="auto"/>
            </w:tcBorders>
          </w:tcPr>
          <w:p w14:paraId="2DFA3411" w14:textId="77777777" w:rsidR="008F05BE" w:rsidRDefault="008F05BE" w:rsidP="008F05BE"/>
        </w:tc>
        <w:tc>
          <w:tcPr>
            <w:tcW w:w="1134" w:type="dxa"/>
            <w:tcBorders>
              <w:bottom w:val="single" w:sz="4" w:space="0" w:color="auto"/>
            </w:tcBorders>
          </w:tcPr>
          <w:p w14:paraId="72AC3B07" w14:textId="77777777" w:rsidR="008F05BE" w:rsidRDefault="008F05BE" w:rsidP="008F05BE"/>
        </w:tc>
        <w:tc>
          <w:tcPr>
            <w:tcW w:w="4111" w:type="dxa"/>
            <w:tcBorders>
              <w:bottom w:val="single" w:sz="4" w:space="0" w:color="auto"/>
            </w:tcBorders>
          </w:tcPr>
          <w:p w14:paraId="546166FD" w14:textId="77777777" w:rsidR="008F05BE" w:rsidRDefault="008F05BE" w:rsidP="008F05BE"/>
        </w:tc>
      </w:tr>
      <w:tr w:rsidR="008F05BE" w14:paraId="63E9127B" w14:textId="77777777" w:rsidTr="008F05BE">
        <w:trPr>
          <w:trHeight w:val="255"/>
        </w:trPr>
        <w:tc>
          <w:tcPr>
            <w:tcW w:w="4248" w:type="dxa"/>
            <w:tcBorders>
              <w:bottom w:val="single" w:sz="4" w:space="0" w:color="auto"/>
            </w:tcBorders>
          </w:tcPr>
          <w:p w14:paraId="4B10E4DE" w14:textId="77777777" w:rsidR="008F05BE" w:rsidRDefault="008F05BE" w:rsidP="008F05BE"/>
        </w:tc>
        <w:tc>
          <w:tcPr>
            <w:tcW w:w="1134" w:type="dxa"/>
            <w:tcBorders>
              <w:bottom w:val="single" w:sz="4" w:space="0" w:color="auto"/>
            </w:tcBorders>
          </w:tcPr>
          <w:p w14:paraId="6228E9F2" w14:textId="77777777" w:rsidR="008F05BE" w:rsidRDefault="008F05BE" w:rsidP="008F05BE"/>
        </w:tc>
        <w:tc>
          <w:tcPr>
            <w:tcW w:w="4111" w:type="dxa"/>
            <w:tcBorders>
              <w:bottom w:val="single" w:sz="4" w:space="0" w:color="auto"/>
            </w:tcBorders>
          </w:tcPr>
          <w:p w14:paraId="56A3C5D3" w14:textId="77777777" w:rsidR="008F05BE" w:rsidRDefault="008F05BE" w:rsidP="008F05BE"/>
        </w:tc>
      </w:tr>
      <w:tr w:rsidR="008F05BE" w14:paraId="4E8E94B7" w14:textId="77777777" w:rsidTr="008F05BE">
        <w:trPr>
          <w:trHeight w:val="270"/>
        </w:trPr>
        <w:tc>
          <w:tcPr>
            <w:tcW w:w="4248" w:type="dxa"/>
            <w:tcBorders>
              <w:bottom w:val="single" w:sz="4" w:space="0" w:color="auto"/>
            </w:tcBorders>
          </w:tcPr>
          <w:p w14:paraId="7F76E8EC" w14:textId="77777777" w:rsidR="008F05BE" w:rsidRDefault="008F05BE" w:rsidP="008F05BE"/>
        </w:tc>
        <w:tc>
          <w:tcPr>
            <w:tcW w:w="1134" w:type="dxa"/>
            <w:tcBorders>
              <w:bottom w:val="single" w:sz="4" w:space="0" w:color="auto"/>
            </w:tcBorders>
          </w:tcPr>
          <w:p w14:paraId="0FD2A9B0" w14:textId="77777777" w:rsidR="008F05BE" w:rsidRDefault="008F05BE" w:rsidP="008F05BE"/>
        </w:tc>
        <w:tc>
          <w:tcPr>
            <w:tcW w:w="4111" w:type="dxa"/>
            <w:tcBorders>
              <w:bottom w:val="single" w:sz="4" w:space="0" w:color="auto"/>
            </w:tcBorders>
          </w:tcPr>
          <w:p w14:paraId="1FC47378" w14:textId="77777777" w:rsidR="008F05BE" w:rsidRDefault="008F05BE" w:rsidP="008F05BE"/>
        </w:tc>
      </w:tr>
      <w:tr w:rsidR="008F05BE" w14:paraId="265C0750" w14:textId="77777777" w:rsidTr="008F05BE">
        <w:trPr>
          <w:trHeight w:val="270"/>
        </w:trPr>
        <w:tc>
          <w:tcPr>
            <w:tcW w:w="4248" w:type="dxa"/>
            <w:tcBorders>
              <w:bottom w:val="single" w:sz="4" w:space="0" w:color="auto"/>
            </w:tcBorders>
          </w:tcPr>
          <w:p w14:paraId="4EEC0D51" w14:textId="77777777" w:rsidR="008F05BE" w:rsidRDefault="008F05BE" w:rsidP="008F05BE"/>
        </w:tc>
        <w:tc>
          <w:tcPr>
            <w:tcW w:w="1134" w:type="dxa"/>
            <w:tcBorders>
              <w:bottom w:val="single" w:sz="4" w:space="0" w:color="auto"/>
            </w:tcBorders>
          </w:tcPr>
          <w:p w14:paraId="50C7B84A" w14:textId="77777777" w:rsidR="008F05BE" w:rsidRDefault="008F05BE" w:rsidP="008F05BE"/>
        </w:tc>
        <w:tc>
          <w:tcPr>
            <w:tcW w:w="4111" w:type="dxa"/>
            <w:tcBorders>
              <w:bottom w:val="single" w:sz="4" w:space="0" w:color="auto"/>
            </w:tcBorders>
          </w:tcPr>
          <w:p w14:paraId="18F5BCE3" w14:textId="77777777" w:rsidR="008F05BE" w:rsidRDefault="008F05BE" w:rsidP="008F05BE"/>
        </w:tc>
      </w:tr>
      <w:tr w:rsidR="008F05BE" w14:paraId="2FEF5922" w14:textId="77777777" w:rsidTr="008F05BE">
        <w:trPr>
          <w:trHeight w:val="255"/>
        </w:trPr>
        <w:tc>
          <w:tcPr>
            <w:tcW w:w="4248" w:type="dxa"/>
            <w:tcBorders>
              <w:bottom w:val="single" w:sz="4" w:space="0" w:color="auto"/>
            </w:tcBorders>
          </w:tcPr>
          <w:p w14:paraId="33916067" w14:textId="77777777" w:rsidR="008F05BE" w:rsidRDefault="008F05BE" w:rsidP="008F05BE"/>
        </w:tc>
        <w:tc>
          <w:tcPr>
            <w:tcW w:w="1134" w:type="dxa"/>
            <w:tcBorders>
              <w:bottom w:val="single" w:sz="4" w:space="0" w:color="auto"/>
            </w:tcBorders>
          </w:tcPr>
          <w:p w14:paraId="6B2C2F2D" w14:textId="77777777" w:rsidR="008F05BE" w:rsidRDefault="008F05BE" w:rsidP="008F05BE"/>
        </w:tc>
        <w:tc>
          <w:tcPr>
            <w:tcW w:w="4111" w:type="dxa"/>
            <w:tcBorders>
              <w:bottom w:val="single" w:sz="4" w:space="0" w:color="auto"/>
            </w:tcBorders>
          </w:tcPr>
          <w:p w14:paraId="191AB06F" w14:textId="77777777" w:rsidR="008F05BE" w:rsidRDefault="008F05BE" w:rsidP="008F05BE"/>
        </w:tc>
      </w:tr>
      <w:tr w:rsidR="008F05BE" w14:paraId="0DFAD344" w14:textId="77777777" w:rsidTr="008F05BE">
        <w:trPr>
          <w:trHeight w:val="270"/>
        </w:trPr>
        <w:tc>
          <w:tcPr>
            <w:tcW w:w="4248" w:type="dxa"/>
            <w:tcBorders>
              <w:bottom w:val="single" w:sz="4" w:space="0" w:color="auto"/>
            </w:tcBorders>
          </w:tcPr>
          <w:p w14:paraId="0C3B39C8" w14:textId="77777777" w:rsidR="008F05BE" w:rsidRDefault="008F05BE" w:rsidP="008F05BE"/>
        </w:tc>
        <w:tc>
          <w:tcPr>
            <w:tcW w:w="1134" w:type="dxa"/>
            <w:tcBorders>
              <w:bottom w:val="single" w:sz="4" w:space="0" w:color="auto"/>
            </w:tcBorders>
          </w:tcPr>
          <w:p w14:paraId="57246B9F" w14:textId="77777777" w:rsidR="008F05BE" w:rsidRDefault="008F05BE" w:rsidP="008F05BE"/>
        </w:tc>
        <w:tc>
          <w:tcPr>
            <w:tcW w:w="4111" w:type="dxa"/>
            <w:tcBorders>
              <w:bottom w:val="single" w:sz="4" w:space="0" w:color="auto"/>
            </w:tcBorders>
          </w:tcPr>
          <w:p w14:paraId="2B4194EB" w14:textId="77777777" w:rsidR="008F05BE" w:rsidRDefault="008F05BE" w:rsidP="008F05BE"/>
        </w:tc>
      </w:tr>
    </w:tbl>
    <w:p w14:paraId="1C0FA6B4" w14:textId="77777777" w:rsidR="00A46E79" w:rsidRDefault="00A46E79" w:rsidP="000466EB"/>
    <w:p w14:paraId="4CEE1D33" w14:textId="77777777" w:rsidR="00A46E79" w:rsidRDefault="00A46E79" w:rsidP="000466EB"/>
    <w:p w14:paraId="41D39284" w14:textId="1F7B0150" w:rsidR="000466EB" w:rsidRDefault="000466EB" w:rsidP="000466EB">
      <w:r>
        <w:t>I declare that I have no conflicts of interest in this assessment process and that the ranking shown above was performed by me.</w:t>
      </w:r>
    </w:p>
    <w:p w14:paraId="6CA89A55" w14:textId="77777777" w:rsidR="000466EB" w:rsidRDefault="000466EB" w:rsidP="000466EB"/>
    <w:p w14:paraId="1B359A8E" w14:textId="77777777" w:rsidR="000466EB" w:rsidRDefault="000466EB" w:rsidP="000466EB">
      <w:r>
        <w:tab/>
      </w:r>
      <w:r>
        <w:tab/>
        <w:t>Signature: _______________________________________</w:t>
      </w:r>
      <w:proofErr w:type="gramStart"/>
      <w:r>
        <w:t>_  Date</w:t>
      </w:r>
      <w:proofErr w:type="gramEnd"/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</w:p>
    <w:p w14:paraId="1E6D1087" w14:textId="0319A209" w:rsidR="008F221A" w:rsidRDefault="008F221A" w:rsidP="00CD5A8B"/>
    <w:sectPr w:rsidR="008F221A" w:rsidSect="006B1C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945"/>
    <w:multiLevelType w:val="multilevel"/>
    <w:tmpl w:val="9D1A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455486"/>
    <w:multiLevelType w:val="hybridMultilevel"/>
    <w:tmpl w:val="2514B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1138D"/>
    <w:multiLevelType w:val="multilevel"/>
    <w:tmpl w:val="6390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D45D8"/>
    <w:multiLevelType w:val="multilevel"/>
    <w:tmpl w:val="7952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901E26"/>
    <w:multiLevelType w:val="multilevel"/>
    <w:tmpl w:val="AF30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7A6C36"/>
    <w:multiLevelType w:val="multilevel"/>
    <w:tmpl w:val="477A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12EFE"/>
    <w:multiLevelType w:val="multilevel"/>
    <w:tmpl w:val="07F8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614F72"/>
    <w:multiLevelType w:val="hybridMultilevel"/>
    <w:tmpl w:val="1F72CA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F7441"/>
    <w:multiLevelType w:val="hybridMultilevel"/>
    <w:tmpl w:val="89DEB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308454">
    <w:abstractNumId w:val="7"/>
  </w:num>
  <w:num w:numId="2" w16cid:durableId="859052154">
    <w:abstractNumId w:val="4"/>
  </w:num>
  <w:num w:numId="3" w16cid:durableId="1411656865">
    <w:abstractNumId w:val="5"/>
  </w:num>
  <w:num w:numId="4" w16cid:durableId="1431966773">
    <w:abstractNumId w:val="6"/>
  </w:num>
  <w:num w:numId="5" w16cid:durableId="442959413">
    <w:abstractNumId w:val="3"/>
  </w:num>
  <w:num w:numId="6" w16cid:durableId="1675838624">
    <w:abstractNumId w:val="0"/>
  </w:num>
  <w:num w:numId="7" w16cid:durableId="1228418833">
    <w:abstractNumId w:val="2"/>
  </w:num>
  <w:num w:numId="8" w16cid:durableId="1250962907">
    <w:abstractNumId w:val="8"/>
  </w:num>
  <w:num w:numId="9" w16cid:durableId="645814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8B"/>
    <w:rsid w:val="00002977"/>
    <w:rsid w:val="00015C0A"/>
    <w:rsid w:val="000466EB"/>
    <w:rsid w:val="000A6019"/>
    <w:rsid w:val="001336A9"/>
    <w:rsid w:val="00186E61"/>
    <w:rsid w:val="001C01C2"/>
    <w:rsid w:val="00201451"/>
    <w:rsid w:val="002168F3"/>
    <w:rsid w:val="00267E89"/>
    <w:rsid w:val="002F70C0"/>
    <w:rsid w:val="00332270"/>
    <w:rsid w:val="00361631"/>
    <w:rsid w:val="004B1ED7"/>
    <w:rsid w:val="004E1464"/>
    <w:rsid w:val="00501C51"/>
    <w:rsid w:val="00510B17"/>
    <w:rsid w:val="0058143E"/>
    <w:rsid w:val="006577D1"/>
    <w:rsid w:val="006A72A1"/>
    <w:rsid w:val="006B1C21"/>
    <w:rsid w:val="006F1229"/>
    <w:rsid w:val="00766D96"/>
    <w:rsid w:val="00832A02"/>
    <w:rsid w:val="008779AF"/>
    <w:rsid w:val="008D6DC9"/>
    <w:rsid w:val="008F05BE"/>
    <w:rsid w:val="008F221A"/>
    <w:rsid w:val="00906DA8"/>
    <w:rsid w:val="00924806"/>
    <w:rsid w:val="00951795"/>
    <w:rsid w:val="009B3E61"/>
    <w:rsid w:val="009D5CD8"/>
    <w:rsid w:val="00A46E79"/>
    <w:rsid w:val="00A56CFD"/>
    <w:rsid w:val="00A619F0"/>
    <w:rsid w:val="00AB7F6E"/>
    <w:rsid w:val="00B267B2"/>
    <w:rsid w:val="00B55231"/>
    <w:rsid w:val="00B63259"/>
    <w:rsid w:val="00B74E22"/>
    <w:rsid w:val="00B92854"/>
    <w:rsid w:val="00B93F74"/>
    <w:rsid w:val="00BC6D6D"/>
    <w:rsid w:val="00BE3FDC"/>
    <w:rsid w:val="00C002D5"/>
    <w:rsid w:val="00C92665"/>
    <w:rsid w:val="00CD5A8B"/>
    <w:rsid w:val="00CF50DE"/>
    <w:rsid w:val="00D05752"/>
    <w:rsid w:val="00D1449A"/>
    <w:rsid w:val="00D25B94"/>
    <w:rsid w:val="00DC3907"/>
    <w:rsid w:val="00E55216"/>
    <w:rsid w:val="00E614A9"/>
    <w:rsid w:val="00EC2A5F"/>
    <w:rsid w:val="00ED59B1"/>
    <w:rsid w:val="00F07179"/>
    <w:rsid w:val="00F2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AF3A"/>
  <w15:chartTrackingRefBased/>
  <w15:docId w15:val="{95EFA863-7BCC-4EBD-A55F-20D72E69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248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8B"/>
    <w:pPr>
      <w:ind w:left="720"/>
      <w:contextualSpacing/>
    </w:pPr>
  </w:style>
  <w:style w:type="table" w:styleId="TableGrid">
    <w:name w:val="Table Grid"/>
    <w:basedOn w:val="TableNormal"/>
    <w:uiPriority w:val="39"/>
    <w:rsid w:val="00CD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2480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24806"/>
    <w:rPr>
      <w:b/>
      <w:bCs/>
    </w:rPr>
  </w:style>
  <w:style w:type="paragraph" w:customStyle="1" w:styleId="xmsolistparagraph">
    <w:name w:val="x_msolistparagraph"/>
    <w:basedOn w:val="Normal"/>
    <w:rsid w:val="0092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normal">
    <w:name w:val="x_msonormal"/>
    <w:basedOn w:val="Normal"/>
    <w:rsid w:val="0092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248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002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57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dora.org/re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Lardelli</dc:creator>
  <cp:keywords/>
  <dc:description/>
  <cp:lastModifiedBy>Michael Lardelli</cp:lastModifiedBy>
  <cp:revision>7</cp:revision>
  <dcterms:created xsi:type="dcterms:W3CDTF">2024-04-17T05:14:00Z</dcterms:created>
  <dcterms:modified xsi:type="dcterms:W3CDTF">2024-04-17T07:38:00Z</dcterms:modified>
</cp:coreProperties>
</file>